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4B" w:rsidRDefault="00ED2ED8">
      <w:r>
        <w:t>Obrazloženje financijskog plana 2025. – sažetak</w:t>
      </w:r>
    </w:p>
    <w:p w:rsidR="00ED2ED8" w:rsidRDefault="00ED2ED8"/>
    <w:p w:rsidR="00ED2ED8" w:rsidRDefault="00ED2ED8">
      <w:r>
        <w:t xml:space="preserve">PRIHODI </w:t>
      </w:r>
    </w:p>
    <w:p w:rsidR="00ED2ED8" w:rsidRDefault="00ED2ED8" w:rsidP="00ED2ED8">
      <w:r>
        <w:t xml:space="preserve">63 – Pomoći iz inozemstva i od subjekata unutar općeg proračuna 2.549.570,00 </w:t>
      </w:r>
      <w:proofErr w:type="spellStart"/>
      <w:r>
        <w:t>eur</w:t>
      </w:r>
      <w:proofErr w:type="spellEnd"/>
      <w:r>
        <w:t xml:space="preserve"> – obuhvaća sredstva koja dobivamo od Ministarstva za: plaće, materijalna prava, udžbenike i radne udžbenike, prehranu i sredstva za plaću PUN (financirano od strane EU )</w:t>
      </w:r>
    </w:p>
    <w:p w:rsidR="00ED2ED8" w:rsidRDefault="00ED2ED8" w:rsidP="00ED2ED8"/>
    <w:p w:rsidR="00ED2ED8" w:rsidRDefault="00ED2ED8" w:rsidP="00ED2ED8">
      <w:r>
        <w:t xml:space="preserve">64 – Prihodi od kamata 100,00 – prihodi od kamata po a </w:t>
      </w:r>
      <w:proofErr w:type="spellStart"/>
      <w:r>
        <w:t>vista</w:t>
      </w:r>
      <w:proofErr w:type="spellEnd"/>
      <w:r>
        <w:t xml:space="preserve"> računu, od zateznih kamata (u slučaju neplaćanja računa korisnika najma dvorane i sl.)</w:t>
      </w:r>
    </w:p>
    <w:p w:rsidR="00ED2ED8" w:rsidRDefault="00ED2ED8" w:rsidP="00ED2ED8"/>
    <w:p w:rsidR="00ED2ED8" w:rsidRDefault="00ED2ED8" w:rsidP="00ED2ED8">
      <w:r>
        <w:t xml:space="preserve">65 – Prihodi po posebnim propisima – prihodi ostvareni od prehrane, boravka, sportskih aktivnosti </w:t>
      </w:r>
    </w:p>
    <w:p w:rsidR="00ED2ED8" w:rsidRDefault="00ED2ED8" w:rsidP="00ED2ED8">
      <w:r>
        <w:t>66 – Prihodi ostvareni od prodaje robe</w:t>
      </w:r>
    </w:p>
    <w:p w:rsidR="00ED2ED8" w:rsidRDefault="00ED2ED8" w:rsidP="00ED2ED8">
      <w:r>
        <w:t>67 – Prihodi za materijalne rashode (grad), plaće boravak, prijevoz, materijalna prava za djelatnike u boravku, za održavanje, prehrana</w:t>
      </w:r>
    </w:p>
    <w:p w:rsidR="00ED2ED8" w:rsidRDefault="00ED2ED8" w:rsidP="00ED2ED8"/>
    <w:p w:rsidR="00ED2ED8" w:rsidRDefault="00ED2ED8" w:rsidP="00ED2ED8">
      <w:r>
        <w:t>RASHODI</w:t>
      </w:r>
    </w:p>
    <w:p w:rsidR="00DA59AC" w:rsidRDefault="00ED2ED8" w:rsidP="00ED2ED8">
      <w:r>
        <w:t xml:space="preserve">31 – Troškovi za plaću, </w:t>
      </w:r>
      <w:r w:rsidR="00DA59AC">
        <w:t xml:space="preserve">doprinose za zdravstveno osiguranje, </w:t>
      </w:r>
      <w:r>
        <w:t>materijalna prava</w:t>
      </w:r>
      <w:r w:rsidR="00DA59AC">
        <w:t xml:space="preserve">. </w:t>
      </w:r>
    </w:p>
    <w:p w:rsidR="00DA59AC" w:rsidRDefault="00DA59AC" w:rsidP="00ED2ED8">
      <w:r>
        <w:t>U odnosu na plan iz 2024, rashodi su veći  iz razloga što je u 2024. g planirana niža osnovica, koja se mijenjala u toku 2024. Također mora se planirati 13. rashod za plaću obzirom da izmjenom Zakona o proračunu plaća za prosinac u 2025.g. se mora prikazati u trošak 2025.g., ne smije se prenositi u 2026. čime će doći do metodološkog manjka poslovanja prouzročenog izmjenom Zakona o proračunu.</w:t>
      </w:r>
    </w:p>
    <w:p w:rsidR="00DA59AC" w:rsidRDefault="00DA59AC" w:rsidP="00ED2ED8">
      <w:r>
        <w:t>32 – Materijalni rashodi – odnosi se na troškove redovnog poslovanja i održavanja</w:t>
      </w:r>
      <w:r w:rsidR="006A1281">
        <w:t>, nabavu sitnog inventara</w:t>
      </w:r>
    </w:p>
    <w:p w:rsidR="00DA59AC" w:rsidRDefault="00DA59AC" w:rsidP="00ED2ED8">
      <w:r>
        <w:t>34 – Financijski rashodi  - troškovi za platni promet, troškovi banke, troškovi obnova certifikata za platni promet</w:t>
      </w:r>
    </w:p>
    <w:p w:rsidR="00DA59AC" w:rsidRDefault="00DA59AC" w:rsidP="00ED2ED8">
      <w:r>
        <w:t>35 – Subvencije – odnosi se na prijenose strateškim partnerima, korisnicima EU projekta, planirano 70.000,00 za slučaj da dobijemo odobrenje novog projekta. Ukoliko se ne realizira, u rebalansu ćemo mijenjati iznos na poziciji.</w:t>
      </w:r>
    </w:p>
    <w:p w:rsidR="00DA59AC" w:rsidRDefault="00DA59AC" w:rsidP="00ED2ED8">
      <w:r>
        <w:t xml:space="preserve">37 – Naknade građanima i kućanstvima – uključuje troškove </w:t>
      </w:r>
      <w:r w:rsidR="006A1281">
        <w:t>roditeljima za prijevoz djece</w:t>
      </w:r>
      <w:r>
        <w:t xml:space="preserve"> (TUR), </w:t>
      </w:r>
      <w:r w:rsidR="006A1281">
        <w:t>udžbenici, radni udžbenici, nagrade učenicima za uspješnost</w:t>
      </w:r>
    </w:p>
    <w:p w:rsidR="006A1281" w:rsidRDefault="006A1281" w:rsidP="00ED2ED8">
      <w:r>
        <w:t>38  -  Ostali rashodi - odnosi se na dane donacije (fizičkim osobama, vjerskim zajednicama, neprofitnim organizacijama), kazne, penale</w:t>
      </w:r>
    </w:p>
    <w:p w:rsidR="006A1281" w:rsidRDefault="006A1281" w:rsidP="00ED2ED8">
      <w:r>
        <w:t xml:space="preserve">42 – Rashodi za nabavu </w:t>
      </w:r>
      <w:proofErr w:type="spellStart"/>
      <w:r>
        <w:t>neproizvedene</w:t>
      </w:r>
      <w:proofErr w:type="spellEnd"/>
      <w:r>
        <w:t xml:space="preserve"> dugotrajne imovine  - za nabavu  opreme, knjiga u knjižnici, nasada za uređenje okoliša, dodatnih ulaganja u opremu, zgrade, računalne programe</w:t>
      </w:r>
      <w:bookmarkStart w:id="0" w:name="_GoBack"/>
      <w:bookmarkEnd w:id="0"/>
    </w:p>
    <w:sectPr w:rsidR="006A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71D"/>
    <w:multiLevelType w:val="hybridMultilevel"/>
    <w:tmpl w:val="323C71EC"/>
    <w:lvl w:ilvl="0" w:tplc="ABC8CCFA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D8"/>
    <w:rsid w:val="0015314B"/>
    <w:rsid w:val="006A1281"/>
    <w:rsid w:val="00DA59AC"/>
    <w:rsid w:val="00E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8EA7"/>
  <w15:chartTrackingRefBased/>
  <w15:docId w15:val="{733E904D-F915-462B-8039-0660373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Božanić</dc:creator>
  <cp:keywords/>
  <dc:description/>
  <cp:lastModifiedBy>Zdravko Božanić</cp:lastModifiedBy>
  <cp:revision>1</cp:revision>
  <dcterms:created xsi:type="dcterms:W3CDTF">2024-12-17T12:34:00Z</dcterms:created>
  <dcterms:modified xsi:type="dcterms:W3CDTF">2024-12-17T13:00:00Z</dcterms:modified>
</cp:coreProperties>
</file>